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700" w:type="dxa"/>
        <w:tblInd w:w="0" w:type="dxa"/>
        <w:tblLayout w:type="fixed"/>
        <w:tblCellMar>
          <w:top w:w="0" w:type="dxa"/>
          <w:left w:w="0" w:type="dxa"/>
          <w:bottom w:w="0" w:type="dxa"/>
          <w:right w:w="0" w:type="dxa"/>
        </w:tblCellMar>
      </w:tblPr>
      <w:tblGrid>
        <w:gridCol w:w="582"/>
        <w:gridCol w:w="851"/>
        <w:gridCol w:w="2898"/>
        <w:gridCol w:w="1416"/>
        <w:gridCol w:w="1072"/>
        <w:gridCol w:w="851"/>
        <w:gridCol w:w="1577"/>
        <w:gridCol w:w="1607"/>
        <w:gridCol w:w="1635"/>
        <w:gridCol w:w="22"/>
        <w:gridCol w:w="545"/>
        <w:gridCol w:w="624"/>
        <w:gridCol w:w="20"/>
      </w:tblGrid>
      <w:tr>
        <w:tblPrEx>
          <w:tblCellMar>
            <w:top w:w="0" w:type="dxa"/>
            <w:left w:w="0" w:type="dxa"/>
            <w:bottom w:w="0" w:type="dxa"/>
            <w:right w:w="0" w:type="dxa"/>
          </w:tblCellMar>
        </w:tblPrEx>
        <w:trPr>
          <w:gridAfter w:val="1"/>
          <w:wAfter w:w="20" w:type="dxa"/>
          <w:trHeight w:val="400" w:hRule="atLeast"/>
        </w:trPr>
        <w:tc>
          <w:tcPr>
            <w:tcW w:w="13680" w:type="dxa"/>
            <w:gridSpan w:val="12"/>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r>
              <w:rPr>
                <w:rFonts w:hint="eastAsia" w:ascii="黑体" w:hAnsi="宋体" w:eastAsia="黑体" w:cs="黑体"/>
                <w:color w:val="000000"/>
                <w:kern w:val="0"/>
                <w:sz w:val="28"/>
                <w:szCs w:val="28"/>
              </w:rPr>
              <w:t>附件：1</w:t>
            </w:r>
          </w:p>
        </w:tc>
      </w:tr>
      <w:tr>
        <w:tblPrEx>
          <w:tblCellMar>
            <w:top w:w="0" w:type="dxa"/>
            <w:left w:w="0" w:type="dxa"/>
            <w:bottom w:w="0" w:type="dxa"/>
            <w:right w:w="0" w:type="dxa"/>
          </w:tblCellMar>
        </w:tblPrEx>
        <w:trPr>
          <w:gridAfter w:val="1"/>
          <w:wAfter w:w="20" w:type="dxa"/>
          <w:trHeight w:val="596" w:hRule="atLeast"/>
        </w:trPr>
        <w:tc>
          <w:tcPr>
            <w:tcW w:w="13680" w:type="dxa"/>
            <w:gridSpan w:val="1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kern w:val="0"/>
                <w:sz w:val="40"/>
                <w:szCs w:val="40"/>
              </w:rPr>
              <w:t>四平市</w:t>
            </w:r>
            <w:r>
              <w:rPr>
                <w:rFonts w:hint="eastAsia" w:ascii="方正小标宋简体" w:hAnsi="方正小标宋简体" w:eastAsia="方正小标宋简体" w:cs="方正小标宋简体"/>
                <w:color w:val="000000"/>
                <w:kern w:val="0"/>
                <w:sz w:val="40"/>
                <w:szCs w:val="40"/>
              </w:rPr>
              <w:t>卫生健康委员会</w:t>
            </w:r>
            <w:r>
              <w:rPr>
                <w:rFonts w:ascii="方正小标宋简体" w:hAnsi="方正小标宋简体" w:eastAsia="方正小标宋简体" w:cs="方正小标宋简体"/>
                <w:color w:val="000000"/>
                <w:kern w:val="0"/>
                <w:sz w:val="40"/>
                <w:szCs w:val="40"/>
              </w:rPr>
              <w:t>随机抽查事项清单</w:t>
            </w:r>
          </w:p>
        </w:tc>
      </w:tr>
      <w:tr>
        <w:tblPrEx>
          <w:tblCellMar>
            <w:top w:w="0" w:type="dxa"/>
            <w:left w:w="0" w:type="dxa"/>
            <w:bottom w:w="0" w:type="dxa"/>
            <w:right w:w="0" w:type="dxa"/>
          </w:tblCellMar>
        </w:tblPrEx>
        <w:trPr>
          <w:gridAfter w:val="1"/>
          <w:wAfter w:w="20" w:type="dxa"/>
          <w:trHeight w:val="402" w:hRule="atLeast"/>
        </w:trPr>
        <w:tc>
          <w:tcPr>
            <w:tcW w:w="13680" w:type="dxa"/>
            <w:gridSpan w:val="12"/>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填报部门：（盖章）                                                                       日期：202</w:t>
            </w:r>
            <w:r>
              <w:rPr>
                <w:rFonts w:hint="eastAsia" w:ascii="宋体" w:hAnsi="宋体" w:cs="宋体"/>
                <w:color w:val="000000"/>
                <w:kern w:val="0"/>
                <w:sz w:val="24"/>
                <w:szCs w:val="24"/>
                <w:lang w:val="en-US" w:eastAsia="zh-CN"/>
              </w:rPr>
              <w:t>1</w:t>
            </w:r>
            <w:bookmarkStart w:id="0" w:name="_GoBack"/>
            <w:bookmarkEnd w:id="0"/>
            <w:r>
              <w:rPr>
                <w:rFonts w:hint="eastAsia" w:ascii="宋体" w:hAnsi="宋体" w:cs="宋体"/>
                <w:color w:val="000000"/>
                <w:kern w:val="0"/>
                <w:sz w:val="24"/>
                <w:szCs w:val="24"/>
              </w:rPr>
              <w:t>年1 月15 日</w:t>
            </w:r>
          </w:p>
        </w:tc>
      </w:tr>
      <w:tr>
        <w:tblPrEx>
          <w:tblCellMar>
            <w:top w:w="0" w:type="dxa"/>
            <w:left w:w="0" w:type="dxa"/>
            <w:bottom w:w="0" w:type="dxa"/>
            <w:right w:w="0" w:type="dxa"/>
          </w:tblCellMar>
        </w:tblPrEx>
        <w:trPr>
          <w:gridAfter w:val="1"/>
          <w:wAfter w:w="20" w:type="dxa"/>
          <w:trHeight w:val="72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抽查事项名称</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抽查依据</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抽查主体</w:t>
            </w: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抽查内容</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抽查方式</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备  注</w:t>
            </w:r>
          </w:p>
        </w:tc>
      </w:tr>
      <w:tr>
        <w:tblPrEx>
          <w:tblCellMar>
            <w:top w:w="0" w:type="dxa"/>
            <w:left w:w="0" w:type="dxa"/>
            <w:bottom w:w="0" w:type="dxa"/>
            <w:right w:w="0" w:type="dxa"/>
          </w:tblCellMar>
        </w:tblPrEx>
        <w:trPr>
          <w:gridAfter w:val="1"/>
          <w:wAfter w:w="20" w:type="dxa"/>
          <w:trHeight w:val="43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水质卫生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《传染病防治法》第29条；《生活饮用水卫生监督管理办法》、《集中式供水单位卫生规范》、《二次供水单位卫生规范》、《生活饮用水卫生标准GB5749—2006》；《卫生监督机构绩效考核指标》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rPr>
              <w:t>四平市卫生</w:t>
            </w:r>
            <w:r>
              <w:rPr>
                <w:rFonts w:hint="eastAsia"/>
                <w:lang w:val="en-US" w:eastAsia="zh-CN"/>
              </w:rPr>
              <w:t>健康委员会</w:t>
            </w:r>
          </w:p>
          <w:p>
            <w:pPr>
              <w:rPr>
                <w:rFonts w:ascii="宋体" w:hAnsi="宋体" w:cs="宋体"/>
                <w:color w:val="000000"/>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1、生活饮用水供应卫生管理法律法规规章规范及标准制度实施情况；2、新改扩建供水项目选址、设计的预防性卫生监督；3、申请供水卫生许可的现场审查；4、违法违规行为的调查与处理；5、饮用水卫生举报和饮用水污染事件的调查与处置；</w:t>
            </w:r>
            <w:r>
              <w:rPr>
                <w:rFonts w:hint="eastAsia"/>
                <w:lang w:val="en-US" w:eastAsia="zh-CN"/>
              </w:rPr>
              <w:t>6</w:t>
            </w:r>
            <w:r>
              <w:rPr>
                <w:rFonts w:hint="eastAsia"/>
              </w:rPr>
              <w:t>、饮用水卫生监测样品采集和现场监测；</w:t>
            </w:r>
            <w:r>
              <w:rPr>
                <w:rFonts w:hint="eastAsia"/>
                <w:lang w:val="en-US" w:eastAsia="zh-CN"/>
              </w:rPr>
              <w:t>7</w:t>
            </w:r>
            <w:r>
              <w:rPr>
                <w:rFonts w:hint="eastAsia"/>
              </w:rPr>
              <w:t>、国家、省、爱卫会等部门供水卫生检查的迎检准备；</w:t>
            </w:r>
            <w:r>
              <w:rPr>
                <w:rFonts w:hint="eastAsia"/>
                <w:lang w:val="en-US" w:eastAsia="zh-CN"/>
              </w:rPr>
              <w:t>8</w:t>
            </w:r>
            <w:r>
              <w:rPr>
                <w:rFonts w:hint="eastAsia"/>
              </w:rPr>
              <w:t>、重大活动卫生监督保障；</w:t>
            </w:r>
            <w:r>
              <w:rPr>
                <w:rFonts w:hint="eastAsia"/>
                <w:lang w:val="en-US" w:eastAsia="zh-CN"/>
              </w:rPr>
              <w:t>9</w:t>
            </w:r>
            <w:r>
              <w:rPr>
                <w:rFonts w:hint="eastAsia"/>
              </w:rPr>
              <w:t>、水质卫生专项集中检查行动。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公共场所卫生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《传染病防治法》、《公共场所卫生管理条例》及实施细则、《公共场所卫生监督量化分级管理指南》、《卫生监督机构绩效考核指标》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rPr>
              <w:t>四平市卫生</w:t>
            </w:r>
            <w:r>
              <w:rPr>
                <w:rFonts w:hint="eastAsia"/>
                <w:lang w:val="en-US" w:eastAsia="zh-CN"/>
              </w:rPr>
              <w:t>健康委员会</w:t>
            </w:r>
          </w:p>
          <w:p>
            <w:pPr>
              <w:rPr>
                <w:rFonts w:ascii="宋体" w:hAnsi="宋体" w:cs="宋体"/>
                <w:color w:val="333333"/>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1、公共场所卫生管理法律法规规章规范及标准制度实施情况；2、新改扩建单位的卫生审查；3、申请卫生许可的现场审查；4、违法违规行为的调查与处理；5、举报和公共场所健康危害事件的调查与处置；6、国家、省、爱卫会等部门的迎检准备；7、重大活动卫生监督保障；8、专项执法集中行动；9、公共场所卫生监督量化分级管理评价</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医疗机构卫生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执业医师法》、《母婴保健法》及实施办法、《献血法》、《职业病防治法》、《医疗机构管理条例》及其实施细则、《护士条例》、《医疗废物管理条例》、《乡村医生从业管理条例》、《处方管理办法》、《医院感染管理办法》、《消毒管理办法》；《卫生监督机构绩效考核指标》《母婴保健法实施办法》《人口与计划生育法》《计划生育技术服务管理条例》《吉林省人口与计划生育条例》《吉林省母婴保健条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rPr>
              <w:t>四平市卫生</w:t>
            </w:r>
            <w:r>
              <w:rPr>
                <w:rFonts w:hint="eastAsia"/>
                <w:lang w:val="en-US" w:eastAsia="zh-CN"/>
              </w:rPr>
              <w:t>健康委员会</w:t>
            </w:r>
          </w:p>
          <w:p>
            <w:pPr>
              <w:rPr>
                <w:rFonts w:ascii="宋体" w:hAnsi="宋体" w:cs="宋体"/>
                <w:sz w:val="24"/>
                <w:szCs w:val="24"/>
              </w:rPr>
            </w:pPr>
          </w:p>
          <w:p>
            <w:pPr>
              <w:rPr>
                <w:rFonts w:ascii="宋体" w:hAnsi="宋体" w:cs="宋体"/>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eastAsia="zh-CN"/>
              </w:rPr>
            </w:pPr>
            <w:r>
              <w:rPr>
                <w:rFonts w:hint="eastAsia"/>
              </w:rPr>
              <w:t>1、医疗采供血机构执业管理；2、医师、护士、乡村医生执业管理；3、消毒、医院感染、医疗废物、</w:t>
            </w:r>
            <w:r>
              <w:rPr>
                <w:rFonts w:hint="eastAsia"/>
                <w:lang w:val="en-US" w:eastAsia="zh-CN"/>
              </w:rPr>
              <w:t>抗菌药物使用</w:t>
            </w:r>
            <w:r>
              <w:rPr>
                <w:rFonts w:hint="eastAsia"/>
              </w:rPr>
              <w:t>、母婴保健、传染病防控等管理；</w:t>
            </w:r>
            <w:r>
              <w:rPr>
                <w:rFonts w:hint="eastAsia"/>
                <w:lang w:val="en-US" w:eastAsia="zh-CN"/>
              </w:rPr>
              <w:t>4</w:t>
            </w:r>
            <w:r>
              <w:rPr>
                <w:rFonts w:hint="eastAsia"/>
              </w:rPr>
              <w:t>、违法违规行为的调查与处理；</w:t>
            </w:r>
            <w:r>
              <w:rPr>
                <w:rFonts w:hint="eastAsia"/>
                <w:lang w:val="en-US" w:eastAsia="zh-CN"/>
              </w:rPr>
              <w:t>5</w:t>
            </w:r>
            <w:r>
              <w:rPr>
                <w:rFonts w:hint="eastAsia"/>
              </w:rPr>
              <w:t>、举报和健康危害事件的调查与处置</w:t>
            </w:r>
            <w:r>
              <w:rPr>
                <w:rFonts w:hint="eastAsia"/>
                <w:lang w:eastAsia="zh-CN"/>
              </w:rPr>
              <w:t>。</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放射诊疗机构卫生</w:t>
            </w:r>
          </w:p>
          <w:p>
            <w:pPr>
              <w:rPr>
                <w:rFonts w:ascii="华文宋体" w:hAnsi="华文宋体" w:eastAsia="华文宋体" w:cs="宋体"/>
                <w:sz w:val="24"/>
                <w:szCs w:val="24"/>
              </w:rPr>
            </w:pP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《职业病防治法》、《放射性同位素与射线装置安全与防护条例》、《放射工作人员职业健康管理办法》、《放射诊疗管理规定》；《卫生监督机构绩效考核指标》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rPr>
              <w:t>四平市卫生</w:t>
            </w:r>
            <w:r>
              <w:rPr>
                <w:rFonts w:hint="eastAsia"/>
                <w:lang w:val="en-US" w:eastAsia="zh-CN"/>
              </w:rPr>
              <w:t>健康委员会</w:t>
            </w:r>
          </w:p>
          <w:p>
            <w:pPr>
              <w:rPr>
                <w:rFonts w:ascii="宋体" w:hAnsi="宋体" w:cs="宋体"/>
                <w:color w:val="000000"/>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ascii="宋体" w:hAnsi="宋体" w:cs="宋体"/>
                <w:sz w:val="24"/>
                <w:szCs w:val="24"/>
              </w:rPr>
            </w:pPr>
            <w:r>
              <w:rPr>
                <w:rFonts w:hint="eastAsia" w:ascii="Arial" w:hAnsi="Arial" w:cs="Arial"/>
                <w:b w:val="0"/>
                <w:i w:val="0"/>
                <w:caps w:val="0"/>
                <w:color w:val="333333"/>
                <w:spacing w:val="0"/>
                <w:sz w:val="21"/>
                <w:szCs w:val="21"/>
                <w:shd w:val="clear" w:fill="FFFFFF"/>
                <w:lang w:val="en-US" w:eastAsia="zh-CN"/>
              </w:rPr>
              <w:t>1、</w:t>
            </w:r>
            <w:r>
              <w:rPr>
                <w:rFonts w:hint="default" w:ascii="Arial" w:hAnsi="Arial" w:cs="Arial"/>
                <w:b w:val="0"/>
                <w:i w:val="0"/>
                <w:caps w:val="0"/>
                <w:color w:val="333333"/>
                <w:spacing w:val="0"/>
                <w:sz w:val="21"/>
                <w:szCs w:val="21"/>
                <w:shd w:val="clear" w:fill="FFFFFF"/>
              </w:rPr>
              <w:t>执行法律、法规、规章、标准和规范等情况；</w:t>
            </w:r>
            <w:r>
              <w:rPr>
                <w:rFonts w:hint="eastAsia" w:ascii="Arial" w:hAnsi="Arial" w:cs="Arial"/>
                <w:b w:val="0"/>
                <w:i w:val="0"/>
                <w:caps w:val="0"/>
                <w:color w:val="333333"/>
                <w:spacing w:val="0"/>
                <w:sz w:val="21"/>
                <w:szCs w:val="21"/>
                <w:shd w:val="clear" w:fill="FFFFFF"/>
                <w:lang w:val="en-US" w:eastAsia="zh-CN"/>
              </w:rPr>
              <w:t>2、</w:t>
            </w:r>
            <w:r>
              <w:rPr>
                <w:rFonts w:hint="default" w:ascii="Arial" w:hAnsi="Arial" w:cs="Arial"/>
                <w:b w:val="0"/>
                <w:i w:val="0"/>
                <w:caps w:val="0"/>
                <w:color w:val="333333"/>
                <w:spacing w:val="0"/>
                <w:sz w:val="21"/>
                <w:szCs w:val="21"/>
                <w:shd w:val="clear" w:fill="FFFFFF"/>
              </w:rPr>
              <w:t>放射诊疗规章制度和工作人员</w:t>
            </w:r>
            <w:r>
              <w:rPr>
                <w:rFonts w:hint="default" w:ascii="Arial" w:hAnsi="Arial" w:cs="Arial"/>
                <w:b w:val="0"/>
                <w:i w:val="0"/>
                <w:caps w:val="0"/>
                <w:color w:val="auto"/>
                <w:spacing w:val="0"/>
                <w:sz w:val="21"/>
                <w:szCs w:val="21"/>
                <w:u w:val="none"/>
                <w:shd w:val="clear" w:fill="FFFFFF"/>
              </w:rPr>
              <w:fldChar w:fldCharType="begin"/>
            </w:r>
            <w:r>
              <w:rPr>
                <w:rFonts w:hint="default" w:ascii="Arial" w:hAnsi="Arial" w:cs="Arial"/>
                <w:b w:val="0"/>
                <w:i w:val="0"/>
                <w:caps w:val="0"/>
                <w:color w:val="auto"/>
                <w:spacing w:val="0"/>
                <w:sz w:val="21"/>
                <w:szCs w:val="21"/>
                <w:u w:val="none"/>
                <w:shd w:val="clear" w:fill="FFFFFF"/>
              </w:rPr>
              <w:instrText xml:space="preserve"> HYPERLINK "https://baike.sogou.com/lemma/ShowInnerLink.htm?lemmaId=7597003&amp;ss_c=ssc.citiao.link" \t "https://baike.sogou.com/_blank" </w:instrText>
            </w:r>
            <w:r>
              <w:rPr>
                <w:rFonts w:hint="default" w:ascii="Arial" w:hAnsi="Arial" w:cs="Arial"/>
                <w:b w:val="0"/>
                <w:i w:val="0"/>
                <w:caps w:val="0"/>
                <w:color w:val="auto"/>
                <w:spacing w:val="0"/>
                <w:sz w:val="21"/>
                <w:szCs w:val="21"/>
                <w:u w:val="none"/>
                <w:shd w:val="clear" w:fill="FFFFFF"/>
              </w:rPr>
              <w:fldChar w:fldCharType="separate"/>
            </w:r>
            <w:r>
              <w:rPr>
                <w:rStyle w:val="7"/>
                <w:rFonts w:hint="default" w:ascii="Arial" w:hAnsi="Arial" w:cs="Arial"/>
                <w:b w:val="0"/>
                <w:i w:val="0"/>
                <w:caps w:val="0"/>
                <w:color w:val="auto"/>
                <w:spacing w:val="0"/>
                <w:sz w:val="21"/>
                <w:szCs w:val="21"/>
                <w:u w:val="none"/>
                <w:shd w:val="clear" w:fill="FFFFFF"/>
              </w:rPr>
              <w:t>岗位责任制</w:t>
            </w:r>
            <w:r>
              <w:rPr>
                <w:rFonts w:hint="default" w:ascii="Arial" w:hAnsi="Arial" w:cs="Arial"/>
                <w:b w:val="0"/>
                <w:i w:val="0"/>
                <w:caps w:val="0"/>
                <w:color w:val="auto"/>
                <w:spacing w:val="0"/>
                <w:sz w:val="21"/>
                <w:szCs w:val="21"/>
                <w:u w:val="none"/>
                <w:shd w:val="clear" w:fill="FFFFFF"/>
              </w:rPr>
              <w:fldChar w:fldCharType="end"/>
            </w:r>
            <w:r>
              <w:rPr>
                <w:rFonts w:hint="default" w:ascii="Arial" w:hAnsi="Arial" w:cs="Arial"/>
                <w:b w:val="0"/>
                <w:i w:val="0"/>
                <w:caps w:val="0"/>
                <w:color w:val="333333"/>
                <w:spacing w:val="0"/>
                <w:sz w:val="21"/>
                <w:szCs w:val="21"/>
                <w:shd w:val="clear" w:fill="FFFFFF"/>
              </w:rPr>
              <w:t>等制度的落实情况；</w:t>
            </w:r>
            <w:r>
              <w:rPr>
                <w:rFonts w:hint="eastAsia" w:ascii="Arial" w:hAnsi="Arial" w:cs="Arial"/>
                <w:b w:val="0"/>
                <w:i w:val="0"/>
                <w:caps w:val="0"/>
                <w:color w:val="333333"/>
                <w:spacing w:val="0"/>
                <w:sz w:val="21"/>
                <w:szCs w:val="21"/>
                <w:shd w:val="clear" w:fill="FFFFFF"/>
                <w:lang w:val="en-US" w:eastAsia="zh-CN"/>
              </w:rPr>
              <w:t>3、</w:t>
            </w:r>
            <w:r>
              <w:rPr>
                <w:rFonts w:hint="default" w:ascii="Arial" w:hAnsi="Arial" w:cs="Arial"/>
                <w:b w:val="0"/>
                <w:i w:val="0"/>
                <w:caps w:val="0"/>
                <w:color w:val="333333"/>
                <w:spacing w:val="0"/>
                <w:sz w:val="21"/>
                <w:szCs w:val="21"/>
                <w:shd w:val="clear" w:fill="FFFFFF"/>
              </w:rPr>
              <w:t>健康监护制度和防护措施的落实情况；</w:t>
            </w:r>
            <w:r>
              <w:rPr>
                <w:rFonts w:hint="eastAsia" w:ascii="Arial" w:hAnsi="Arial" w:cs="Arial"/>
                <w:b w:val="0"/>
                <w:i w:val="0"/>
                <w:caps w:val="0"/>
                <w:color w:val="333333"/>
                <w:spacing w:val="0"/>
                <w:sz w:val="21"/>
                <w:szCs w:val="21"/>
                <w:shd w:val="clear" w:fill="FFFFFF"/>
                <w:lang w:val="en-US" w:eastAsia="zh-CN"/>
              </w:rPr>
              <w:t>4、</w:t>
            </w:r>
            <w:r>
              <w:rPr>
                <w:rFonts w:hint="default" w:ascii="Arial" w:hAnsi="Arial" w:cs="Arial"/>
                <w:b w:val="0"/>
                <w:i w:val="0"/>
                <w:caps w:val="0"/>
                <w:color w:val="333333"/>
                <w:spacing w:val="0"/>
                <w:sz w:val="21"/>
                <w:szCs w:val="21"/>
                <w:shd w:val="clear" w:fill="FFFFFF"/>
              </w:rPr>
              <w:t>放射事件调查处理和报告情况。</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1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学校卫生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学校卫生工作条例》、《执业医师法》、《医疗机构管理条例》及其实施细则、《医疗废物管理条例》、《公共场所管理条例》、《生活饮用水卫生监督管理办法》、《中小学幼儿园安全管理办法》；《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rPr>
              <w:t>四平市卫生</w:t>
            </w:r>
            <w:r>
              <w:rPr>
                <w:rFonts w:hint="eastAsia"/>
                <w:lang w:val="en-US" w:eastAsia="zh-CN"/>
              </w:rPr>
              <w:t>健康委员会</w:t>
            </w:r>
          </w:p>
          <w:p>
            <w:pPr>
              <w:rPr>
                <w:rFonts w:ascii="宋体" w:hAnsi="宋体" w:cs="宋体"/>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1、学校教学环境卫生；2、学校传染病及学生常见病防控；3、学校医疗机构、公共场所、水质等卫生监督；4、违法违规行为的调查与处理；5、举报和健康危害事件的调查与处置；6、国家、省、爱卫会等部门的迎检准备；7、疫情防控督察</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2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4"/>
                <w:szCs w:val="24"/>
              </w:rPr>
            </w:pPr>
            <w:r>
              <w:rPr>
                <w:rFonts w:hint="eastAsia" w:ascii="黑体" w:hAnsi="黑体" w:eastAsia="黑体"/>
                <w:color w:val="000000"/>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消毒卫生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《传染病防治法》、《消毒管理办法》、《餐饮具集中消毒单位卫生监督规范》；《卫生监督机构绩效考核指标》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rPr>
              <w:t>四平市卫生</w:t>
            </w:r>
            <w:r>
              <w:rPr>
                <w:rFonts w:hint="eastAsia"/>
                <w:lang w:val="en-US" w:eastAsia="zh-CN"/>
              </w:rPr>
              <w:t>健康委员会</w:t>
            </w:r>
          </w:p>
          <w:p>
            <w:pPr>
              <w:rPr>
                <w:rFonts w:ascii="宋体" w:hAnsi="宋体" w:cs="宋体"/>
                <w:color w:val="000000"/>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 w:val="24"/>
                <w:szCs w:val="24"/>
              </w:rPr>
            </w:pPr>
            <w:r>
              <w:rPr>
                <w:rFonts w:hint="eastAsia"/>
              </w:rPr>
              <w:t>1、消毒生产单位的卫生许可和从业人员的健康体检与卫生培训管理；2、消毒产品经营单位索证管理；3、消毒技术服务机构的卫生管理和餐饮具集中消毒单位的现场卫生检查监督；4、举报及违法违规行为的调查与处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42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olor w:val="000000"/>
                <w:lang w:val="en-US" w:eastAsia="zh-CN"/>
              </w:rPr>
            </w:pPr>
            <w:r>
              <w:rPr>
                <w:rFonts w:hint="eastAsia" w:ascii="黑体" w:hAnsi="黑体" w:eastAsia="黑体"/>
                <w:color w:val="000000"/>
                <w:lang w:val="en-US" w:eastAsia="zh-CN"/>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eastAsia="宋体"/>
                <w:lang w:val="en-US" w:eastAsia="zh-CN"/>
              </w:rPr>
            </w:pPr>
            <w:r>
              <w:rPr>
                <w:rFonts w:hint="eastAsia"/>
                <w:lang w:val="en-US" w:eastAsia="zh-CN"/>
              </w:rPr>
              <w:t>职业卫生</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《中华人民共和国职业病防治法》、《职业健康监护管理办法》和《建设项目职业病危害分类管理办法》</w:t>
            </w:r>
            <w:r>
              <w:rPr>
                <w:rFonts w:hint="eastAsia"/>
                <w:lang w:eastAsia="zh-CN"/>
              </w:rPr>
              <w:t>、</w:t>
            </w:r>
            <w:r>
              <w:rPr>
                <w:rFonts w:hint="eastAsia"/>
              </w:rPr>
              <w:t>《卫生监督机构绩效考核指标》等</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sz w:val="24"/>
                <w:szCs w:val="24"/>
                <w:lang w:val="en-US" w:eastAsia="zh-CN"/>
              </w:rPr>
            </w:pPr>
            <w:r>
              <w:rPr>
                <w:rFonts w:hint="eastAsia"/>
              </w:rPr>
              <w:t>四平市卫生</w:t>
            </w:r>
            <w:r>
              <w:rPr>
                <w:rFonts w:hint="eastAsia"/>
                <w:lang w:val="en-US" w:eastAsia="zh-CN"/>
              </w:rPr>
              <w:t>健康委员会</w:t>
            </w:r>
          </w:p>
          <w:p>
            <w:pPr>
              <w:rPr>
                <w:rFonts w:ascii="宋体" w:hAnsi="宋体" w:cs="宋体"/>
                <w:color w:val="000000"/>
                <w:sz w:val="24"/>
                <w:szCs w:val="24"/>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1、职业病防治管理措施建立、健全情况</w:t>
            </w:r>
            <w:r>
              <w:rPr>
                <w:rFonts w:hint="eastAsia"/>
                <w:lang w:eastAsia="zh-CN"/>
              </w:rPr>
              <w:t>；</w:t>
            </w:r>
            <w:r>
              <w:rPr>
                <w:rFonts w:hint="eastAsia"/>
              </w:rPr>
              <w:t>2、建设项目职业病危害评价、职业病防护设施设计及竣工验收情况</w:t>
            </w:r>
            <w:r>
              <w:rPr>
                <w:rFonts w:hint="eastAsia"/>
                <w:lang w:eastAsia="zh-CN"/>
              </w:rPr>
              <w:t>；</w:t>
            </w:r>
            <w:r>
              <w:rPr>
                <w:rFonts w:hint="eastAsia"/>
              </w:rPr>
              <w:t>3、工作场所职业病危害项目申报情况</w:t>
            </w:r>
            <w:r>
              <w:rPr>
                <w:rFonts w:hint="eastAsia"/>
                <w:lang w:eastAsia="zh-CN"/>
              </w:rPr>
              <w:t>；</w:t>
            </w:r>
            <w:r>
              <w:rPr>
                <w:rFonts w:hint="eastAsia"/>
              </w:rPr>
              <w:t>4、工作场所职业病危害因素日常监测和定期检测、评价情况</w:t>
            </w:r>
            <w:r>
              <w:rPr>
                <w:rFonts w:hint="eastAsia"/>
                <w:lang w:eastAsia="zh-CN"/>
              </w:rPr>
              <w:t>；</w:t>
            </w:r>
            <w:r>
              <w:rPr>
                <w:rFonts w:hint="eastAsia"/>
              </w:rPr>
              <w:t>5、职业卫生培训情况</w:t>
            </w:r>
            <w:r>
              <w:rPr>
                <w:rFonts w:hint="eastAsia"/>
                <w:lang w:eastAsia="zh-CN"/>
              </w:rPr>
              <w:t>；</w:t>
            </w:r>
            <w:r>
              <w:rPr>
                <w:rFonts w:hint="eastAsia"/>
              </w:rPr>
              <w:t>6、劳动者职业健康监护情况。</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随机抽取、现场检查</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1"/>
          <w:wAfter w:w="20" w:type="dxa"/>
          <w:trHeight w:val="1188" w:hRule="atLeast"/>
        </w:trPr>
        <w:tc>
          <w:tcPr>
            <w:tcW w:w="1368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     注：1、抽查项目名称要规范，与抽查依据中的描述相吻合；2、填报的抽查依据要明确到法律法规和规章的具体条款、项、目；  3、抽查主体要填报具有主体资格的执法单位名称（行政机关、法律法规授权组织）；4、抽查事项清单填报完成后把电子版上报至843297829@qq,com邮箱。</w:t>
            </w:r>
          </w:p>
        </w:tc>
      </w:tr>
      <w:tr>
        <w:tblPrEx>
          <w:tblCellMar>
            <w:top w:w="0" w:type="dxa"/>
            <w:left w:w="0" w:type="dxa"/>
            <w:bottom w:w="0" w:type="dxa"/>
            <w:right w:w="0" w:type="dxa"/>
          </w:tblCellMar>
        </w:tblPrEx>
        <w:trPr>
          <w:gridAfter w:val="1"/>
          <w:wAfter w:w="20" w:type="dxa"/>
          <w:trHeight w:val="415" w:hRule="atLeast"/>
        </w:trPr>
        <w:tc>
          <w:tcPr>
            <w:tcW w:w="13680" w:type="dxa"/>
            <w:gridSpan w:val="12"/>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   填报人：张春柱                    联系电话：3205328                       单位领导签字： </w:t>
            </w:r>
          </w:p>
        </w:tc>
      </w:tr>
      <w:tr>
        <w:tblPrEx>
          <w:tblCellMar>
            <w:top w:w="0" w:type="dxa"/>
            <w:left w:w="0" w:type="dxa"/>
            <w:bottom w:w="0" w:type="dxa"/>
            <w:right w:w="0" w:type="dxa"/>
          </w:tblCellMar>
        </w:tblPrEx>
        <w:trPr>
          <w:trHeight w:val="512" w:hRule="atLeast"/>
        </w:trPr>
        <w:tc>
          <w:tcPr>
            <w:tcW w:w="4331" w:type="dxa"/>
            <w:gridSpan w:val="3"/>
            <w:tcBorders>
              <w:top w:val="nil"/>
              <w:left w:val="nil"/>
              <w:bottom w:val="nil"/>
              <w:right w:val="nil"/>
            </w:tcBorders>
            <w:shd w:val="clear" w:color="auto" w:fill="auto"/>
            <w:tcMar>
              <w:top w:w="15" w:type="dxa"/>
              <w:left w:w="15" w:type="dxa"/>
              <w:right w:w="15" w:type="dxa"/>
            </w:tcMar>
            <w:vAlign w:val="center"/>
          </w:tcPr>
          <w:p>
            <w:pPr>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rPr>
                <w:rFonts w:ascii="宋体" w:hAnsi="宋体" w:cs="宋体"/>
                <w:color w:val="000000"/>
                <w:sz w:val="24"/>
                <w:szCs w:val="24"/>
              </w:rPr>
            </w:pPr>
          </w:p>
        </w:tc>
        <w:tc>
          <w:tcPr>
            <w:tcW w:w="1416"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3500"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607"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657" w:type="dxa"/>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189"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p>
        </w:tc>
      </w:tr>
    </w:tbl>
    <w:p/>
    <w:sectPr>
      <w:footerReference r:id="rId3" w:type="default"/>
      <w:type w:val="continuous"/>
      <w:pgSz w:w="16838" w:h="11906" w:orient="landscape"/>
      <w:pgMar w:top="1701" w:right="1418" w:bottom="1418" w:left="1701" w:header="851" w:footer="992" w:gutter="0"/>
      <w:cols w:space="720" w:num="1"/>
      <w:docGrid w:type="linesAndChars" w:linePitch="311"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t>2</w:t>
    </w:r>
    <w:r>
      <w:rPr>
        <w:rFonts w:ascii="Times New Roman" w:hAnsi="Times New Roman"/>
        <w:sz w:val="24"/>
      </w:rPr>
      <w:fldChar w:fldCharType="end"/>
    </w:r>
    <w:r>
      <w:rPr>
        <w:rFonts w:ascii="Times New Roman" w:hAnsi="Times New Roman"/>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860FD"/>
    <w:rsid w:val="004A27AB"/>
    <w:rsid w:val="005E4419"/>
    <w:rsid w:val="007809E7"/>
    <w:rsid w:val="00791D9A"/>
    <w:rsid w:val="008D2460"/>
    <w:rsid w:val="00AA31C2"/>
    <w:rsid w:val="00AD1587"/>
    <w:rsid w:val="00C14EDA"/>
    <w:rsid w:val="00C273BD"/>
    <w:rsid w:val="00CE5C4D"/>
    <w:rsid w:val="00D00214"/>
    <w:rsid w:val="00E1444E"/>
    <w:rsid w:val="00EF2378"/>
    <w:rsid w:val="05CE17F8"/>
    <w:rsid w:val="0A705849"/>
    <w:rsid w:val="0D2A0B7D"/>
    <w:rsid w:val="0E3A7C8F"/>
    <w:rsid w:val="0E4577B0"/>
    <w:rsid w:val="12610566"/>
    <w:rsid w:val="190860FD"/>
    <w:rsid w:val="1A5D3750"/>
    <w:rsid w:val="1A8E654B"/>
    <w:rsid w:val="1E7E09A2"/>
    <w:rsid w:val="1E850314"/>
    <w:rsid w:val="1F265838"/>
    <w:rsid w:val="208815C8"/>
    <w:rsid w:val="29557BE2"/>
    <w:rsid w:val="2A1C11EB"/>
    <w:rsid w:val="2E7D7151"/>
    <w:rsid w:val="40E91081"/>
    <w:rsid w:val="44C2690A"/>
    <w:rsid w:val="47EC6971"/>
    <w:rsid w:val="49DA36B2"/>
    <w:rsid w:val="4A010663"/>
    <w:rsid w:val="4B2F40E4"/>
    <w:rsid w:val="4C131BCE"/>
    <w:rsid w:val="4DAC2AB6"/>
    <w:rsid w:val="50437BB0"/>
    <w:rsid w:val="52354C7C"/>
    <w:rsid w:val="537646E6"/>
    <w:rsid w:val="548B3AFD"/>
    <w:rsid w:val="54985975"/>
    <w:rsid w:val="56A870EC"/>
    <w:rsid w:val="581E790C"/>
    <w:rsid w:val="59763814"/>
    <w:rsid w:val="59EF333F"/>
    <w:rsid w:val="5AC85A11"/>
    <w:rsid w:val="61C064EA"/>
    <w:rsid w:val="637B6DC2"/>
    <w:rsid w:val="684D1C63"/>
    <w:rsid w:val="69ED5875"/>
    <w:rsid w:val="6FA04E3B"/>
    <w:rsid w:val="72B020EB"/>
    <w:rsid w:val="73A6644C"/>
    <w:rsid w:val="7571745E"/>
    <w:rsid w:val="76812CCD"/>
    <w:rsid w:val="77513167"/>
    <w:rsid w:val="77694979"/>
    <w:rsid w:val="77772DFC"/>
    <w:rsid w:val="791C6EF6"/>
    <w:rsid w:val="79B257E0"/>
    <w:rsid w:val="7A012091"/>
    <w:rsid w:val="7A1F64ED"/>
    <w:rsid w:val="7B7B2BBE"/>
    <w:rsid w:val="7BA02A7C"/>
    <w:rsid w:val="7F790E93"/>
    <w:rsid w:val="7F931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u w:val="single"/>
    </w:rPr>
  </w:style>
  <w:style w:type="character" w:customStyle="1" w:styleId="8">
    <w:name w:val="font31"/>
    <w:basedOn w:val="6"/>
    <w:qFormat/>
    <w:uiPriority w:val="0"/>
    <w:rPr>
      <w:rFonts w:hint="eastAsia" w:ascii="宋体" w:hAnsi="宋体" w:eastAsia="宋体" w:cs="宋体"/>
      <w:color w:val="00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hint="eastAsia" w:ascii="宋体" w:hAnsi="宋体" w:eastAsia="宋体" w:cs="宋体"/>
      <w:color w:val="000000"/>
      <w:sz w:val="24"/>
      <w:szCs w:val="24"/>
      <w:u w:val="none"/>
    </w:rPr>
  </w:style>
  <w:style w:type="character" w:customStyle="1" w:styleId="11">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3</Pages>
  <Words>295</Words>
  <Characters>1688</Characters>
  <Lines>14</Lines>
  <Paragraphs>3</Paragraphs>
  <TotalTime>1</TotalTime>
  <ScaleCrop>false</ScaleCrop>
  <LinksUpToDate>false</LinksUpToDate>
  <CharactersWithSpaces>1980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2019-06-10T07:49:00Z</dcterms:created>
  <dc:creator>Administrator</dc:creator>
  <cp:lastModifiedBy>Administrator</cp:lastModifiedBy>
  <cp:lastPrinted>2020-01-10T01:43:00Z</cp:lastPrinted>
  <dcterms:modified xsi:type="dcterms:W3CDTF">2021-01-14T06:35:53Z</dcterms:modified>
  <dc:title>四平市司法局关于做好2019年度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