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6C" w:rsidRDefault="00327C6C" w:rsidP="00327C6C">
      <w:pPr>
        <w:widowControl/>
        <w:shd w:val="clear" w:color="auto" w:fill="FFFFFF"/>
        <w:spacing w:line="600" w:lineRule="atLeast"/>
        <w:jc w:val="center"/>
        <w:rPr>
          <w:rFonts w:asciiTheme="minorEastAsia" w:hAnsiTheme="minorEastAsia" w:cs="宋体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bCs/>
          <w:kern w:val="0"/>
          <w:sz w:val="44"/>
          <w:szCs w:val="44"/>
          <w:shd w:val="clear" w:color="auto" w:fill="FFFFFF"/>
        </w:rPr>
        <w:t>四平市卫生健康委行政处罚服务指南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b/>
          <w:bCs/>
          <w:kern w:val="0"/>
          <w:sz w:val="32"/>
          <w:szCs w:val="32"/>
          <w:shd w:val="clear" w:color="auto" w:fill="FFFFFF"/>
        </w:rPr>
      </w:pP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一、执法事项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卫生健康行政处罚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二、依据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：《中华人民共和国行政处罚法》《中华人民共和国行政强制法》《中华人民共和国行政复议法》《中华人民共和国行政诉讼法》《中华人民共和国传染病防治法》《中华人民共和国执业医师法》《中华人民共和国职业病防治法》《中华人民共和国人口与计划生育法》《中华人民共和国母婴保健法》《中华人民共和国献血法》《医疗机构管理条例》《学校卫生工作条例》《医疗废物管理条例》《生活饮用水管理办法》《消毒管理办法》《公共场所卫生管理条例》等有关法律、法规及规章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三、处罚范围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：依法开展公共场所卫生、饮用水卫生、学校卫生、医疗卫生、职业卫生、放射卫生、传染病防治、计划生育等综合监督行政执法，查处违法行为。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Chars="196" w:firstLine="63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四、承办机构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：四平市卫生健康委员会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Chars="196" w:firstLine="63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五、办理流程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：见四平市卫生健康委员会行政处罚流程图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（一）自受理之日7日内立案；2个月内调查终结，3个月作出行政处罚决定。需要延长办案时限的，应当在期限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lastRenderedPageBreak/>
        <w:t>届满10前报请行政机关负责人集体讨论决定，延长期限一般不超过3个月。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（二）证据先行登记保存时限7天，查封扣押期限30天，情况复杂需要延长的，经行政机关负责人批准可延长30日。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（三）直接送达的文书7日内送达，公告送达时限60天。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七、监督方式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：纪检委问卷调查，法规跟踪稽查。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八、救济渠道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（一）行政处罚事先告知下达后3日内，当事人有要求陈述、申辩或听证的权力；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（二）行政处罚决定书送达后，当事人应当在15日内履行。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（三）如不服行政机关作出的处罚决定，可在收到行政处罚决定书之日起60日内向上级行政部门或同级人民政府申请行政复议，或者6个月内向作出行政处罚决定行政机关所在地人民法院提请诉讼。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十、处罚结果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：向当事人送达行政处罚决定书，行政处罚结果在吉林省卫生健康委网站公示。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十一、责任追究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lastRenderedPageBreak/>
        <w:t>（一）对没有法定的行政处罚依据，擅自改变行政处罚种类幅度，违反法定的行政处罚程序的，对直接负责的主管人员和其他直接责任人员依法给予行政处分。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（二）对不使用罚款、没收财物单据或者使用非法定部门制发的罚款、没收财物单据的，对直接负责的主管人员和其他直接责任人员依法给予行政处分。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三）对将罚款、没收的违法所得或者财物截留、私分或者变相私分的，由财政部门或者有关部门予以追缴，对直接负责的主管人员和其他直接责任人员依法给予行政处分；情节严重构成犯罪的，依法追究刑事责任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（四）对利用职务上的便利，索取或者收受他人财物、收缴罚款据为己有，构成犯罪的，依法追究刑事责任；情节轻微不构成犯罪的，依法给予行政处分。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（五）对使用或者损毁扣押的财物，对当事人造成损失的，应当依法予以赔偿，对直接负责的主管人员和其他直接责任人员依法给予行政处分。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十二、办公地点、时间及电话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Chars="200" w:firstLine="640"/>
        <w:rPr>
          <w:rFonts w:ascii="宋体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（一）地点：四平市铁西区北迎宾街1488号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（二）时间：上午：8:30 ～11:30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Chars="800" w:firstLine="256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下午：13:00～16:30</w:t>
      </w:r>
    </w:p>
    <w:p w:rsidR="00327C6C" w:rsidRDefault="00327C6C" w:rsidP="00327C6C">
      <w:pPr>
        <w:widowControl/>
        <w:shd w:val="clear" w:color="auto" w:fill="FFFFFF"/>
        <w:spacing w:line="6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（三）电话：0434-3203044</w:t>
      </w:r>
    </w:p>
    <w:p w:rsidR="00A76E56" w:rsidRPr="00327C6C" w:rsidRDefault="00A76E56"/>
    <w:sectPr w:rsidR="00A76E56" w:rsidRPr="0032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E56" w:rsidRDefault="00A76E56" w:rsidP="00327C6C">
      <w:r>
        <w:separator/>
      </w:r>
    </w:p>
  </w:endnote>
  <w:endnote w:type="continuationSeparator" w:id="1">
    <w:p w:rsidR="00A76E56" w:rsidRDefault="00A76E56" w:rsidP="00327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E56" w:rsidRDefault="00A76E56" w:rsidP="00327C6C">
      <w:r>
        <w:separator/>
      </w:r>
    </w:p>
  </w:footnote>
  <w:footnote w:type="continuationSeparator" w:id="1">
    <w:p w:rsidR="00A76E56" w:rsidRDefault="00A76E56" w:rsidP="00327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C6C"/>
    <w:rsid w:val="00327C6C"/>
    <w:rsid w:val="00A7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C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C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1055</Characters>
  <Application>Microsoft Office Word</Application>
  <DocSecurity>0</DocSecurity>
  <Lines>8</Lines>
  <Paragraphs>2</Paragraphs>
  <ScaleCrop>false</ScaleCrop>
  <Company>SysCeo.com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2020-03-17T07:08:00Z</dcterms:created>
  <dcterms:modified xsi:type="dcterms:W3CDTF">2020-03-17T07:08:00Z</dcterms:modified>
</cp:coreProperties>
</file>