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auto"/>
          <w:spacing w:val="-4"/>
          <w:sz w:val="32"/>
        </w:rPr>
      </w:pPr>
    </w:p>
    <w:p>
      <w:pPr>
        <w:rPr>
          <w:rFonts w:ascii="仿宋_GB2312" w:eastAsia="仿宋_GB2312"/>
          <w:color w:val="auto"/>
          <w:spacing w:val="-4"/>
          <w:sz w:val="32"/>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auto"/>
          <w:spacing w:val="-4"/>
          <w:sz w:val="128"/>
          <w:szCs w:val="128"/>
        </w:rPr>
      </w:pPr>
    </w:p>
    <w:p>
      <w:pPr>
        <w:spacing w:line="1880" w:lineRule="exact"/>
        <w:jc w:val="center"/>
        <w:rPr>
          <w:rFonts w:hint="eastAsia" w:ascii="方正小标宋_GBK" w:eastAsia="方正小标宋_GBK"/>
          <w:color w:val="FF0000"/>
          <w:spacing w:val="-14"/>
          <w:w w:val="70"/>
          <w:sz w:val="128"/>
          <w:szCs w:val="128"/>
          <w:lang w:val="en-US" w:eastAsia="zh-CN"/>
        </w:rPr>
      </w:pPr>
      <w:r>
        <w:rPr>
          <w:rFonts w:hint="eastAsia" w:ascii="方正小标宋_GBK" w:eastAsia="方正小标宋_GBK"/>
          <w:color w:val="FF0000"/>
          <w:spacing w:val="-14"/>
          <w:w w:val="70"/>
          <w:sz w:val="128"/>
          <w:szCs w:val="128"/>
          <w:lang w:eastAsia="zh-CN"/>
        </w:rPr>
        <w:t>警</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示</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通</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报</w:t>
      </w:r>
    </w:p>
    <w:p>
      <w:pPr>
        <w:spacing w:line="400" w:lineRule="exact"/>
        <w:rPr>
          <w:rFonts w:ascii="仿宋_GB2312" w:eastAsia="仿宋_GB2312"/>
          <w:color w:val="auto"/>
          <w:spacing w:val="-4"/>
          <w:sz w:val="32"/>
        </w:rPr>
      </w:pPr>
    </w:p>
    <w:p>
      <w:pPr>
        <w:spacing w:line="400" w:lineRule="exact"/>
        <w:jc w:val="center"/>
        <w:rPr>
          <w:rFonts w:hint="eastAsia" w:ascii="黑体" w:hAnsi="黑体" w:eastAsia="黑体" w:cs="黑体"/>
          <w:color w:val="auto"/>
          <w:spacing w:val="-4"/>
          <w:sz w:val="32"/>
          <w:lang w:val="en-US" w:eastAsia="zh-CN"/>
        </w:rPr>
      </w:pPr>
      <w:r>
        <w:rPr>
          <w:rFonts w:hint="eastAsia" w:ascii="黑体" w:hAnsi="黑体" w:eastAsia="黑体" w:cs="黑体"/>
          <w:color w:val="auto"/>
          <w:spacing w:val="-4"/>
          <w:sz w:val="32"/>
          <w:lang w:eastAsia="zh-CN"/>
        </w:rPr>
        <w:t>第</w:t>
      </w:r>
      <w:r>
        <w:rPr>
          <w:rFonts w:hint="default" w:ascii="黑体" w:hAnsi="黑体" w:eastAsia="黑体" w:cs="黑体"/>
          <w:color w:val="auto"/>
          <w:spacing w:val="-4"/>
          <w:sz w:val="32"/>
          <w:lang w:val="en" w:eastAsia="zh-CN"/>
        </w:rPr>
        <w:t>5</w:t>
      </w:r>
      <w:r>
        <w:rPr>
          <w:rFonts w:hint="eastAsia" w:ascii="黑体" w:hAnsi="黑体" w:eastAsia="黑体" w:cs="黑体"/>
          <w:color w:val="auto"/>
          <w:spacing w:val="-4"/>
          <w:sz w:val="32"/>
          <w:lang w:val="en-US" w:eastAsia="zh-CN"/>
        </w:rPr>
        <w:t>期</w:t>
      </w:r>
    </w:p>
    <w:p>
      <w:pPr>
        <w:spacing w:line="400" w:lineRule="exact"/>
        <w:rPr>
          <w:rFonts w:ascii="仿宋_GB2312" w:eastAsia="仿宋_GB2312"/>
          <w:color w:val="auto"/>
          <w:spacing w:val="-4"/>
          <w:sz w:val="32"/>
        </w:rPr>
      </w:pPr>
    </w:p>
    <w:p>
      <w:pPr>
        <w:ind w:firstLine="300" w:firstLineChars="100"/>
        <w:jc w:val="both"/>
        <w:rPr>
          <w:rFonts w:hint="eastAsia" w:ascii="楷体_GB2312" w:hAnsi="楷体_GB2312" w:eastAsia="楷体_GB2312" w:cs="楷体_GB2312"/>
          <w:color w:val="auto"/>
          <w:spacing w:val="-4"/>
          <w:sz w:val="30"/>
          <w:szCs w:val="30"/>
          <w:lang w:val="en-US"/>
        </w:rPr>
      </w:pPr>
      <w:r>
        <w:rPr>
          <w:rFonts w:hint="eastAsia" w:ascii="楷体_GB2312" w:hAnsi="楷体_GB2312" w:eastAsia="楷体_GB2312" w:cs="楷体_GB2312"/>
          <w:sz w:val="30"/>
          <w:szCs w:val="30"/>
          <w:lang w:eastAsia="zh-CN"/>
        </w:rPr>
        <w:t>四平市安全生产委员会办公室</w:t>
      </w:r>
      <w:r>
        <w:rPr>
          <w:rFonts w:hint="eastAsia" w:ascii="楷体_GB2312" w:hAnsi="楷体_GB2312" w:eastAsia="楷体_GB2312" w:cs="楷体_GB2312"/>
          <w:sz w:val="30"/>
          <w:szCs w:val="30"/>
          <w:lang w:val="en-US" w:eastAsia="zh-CN"/>
        </w:rPr>
        <w:t xml:space="preserve">             2023年</w:t>
      </w:r>
      <w:r>
        <w:rPr>
          <w:rFonts w:hint="default" w:ascii="楷体_GB2312" w:hAnsi="楷体_GB2312" w:eastAsia="楷体_GB2312" w:cs="楷体_GB2312"/>
          <w:sz w:val="30"/>
          <w:szCs w:val="30"/>
          <w:lang w:val="en" w:eastAsia="zh-CN"/>
        </w:rPr>
        <w:t>6</w:t>
      </w:r>
      <w:r>
        <w:rPr>
          <w:rFonts w:hint="eastAsia" w:ascii="楷体_GB2312" w:hAnsi="楷体_GB2312" w:eastAsia="楷体_GB2312" w:cs="楷体_GB2312"/>
          <w:sz w:val="30"/>
          <w:szCs w:val="30"/>
          <w:lang w:val="en-US" w:eastAsia="zh-CN"/>
        </w:rPr>
        <w:t>月</w:t>
      </w:r>
      <w:r>
        <w:rPr>
          <w:rFonts w:hint="default" w:ascii="楷体_GB2312" w:hAnsi="楷体_GB2312" w:eastAsia="楷体_GB2312" w:cs="楷体_GB2312"/>
          <w:sz w:val="30"/>
          <w:szCs w:val="30"/>
          <w:lang w:val="en" w:eastAsia="zh-CN"/>
        </w:rPr>
        <w:t>21</w:t>
      </w:r>
      <w:r>
        <w:rPr>
          <w:rFonts w:hint="eastAsia" w:ascii="楷体_GB2312" w:hAnsi="楷体_GB2312" w:eastAsia="楷体_GB2312" w:cs="楷体_GB2312"/>
          <w:sz w:val="30"/>
          <w:szCs w:val="30"/>
          <w:lang w:val="en-US" w:eastAsia="zh-CN"/>
        </w:rPr>
        <w:t>日</w:t>
      </w:r>
    </w:p>
    <w:p>
      <w:pPr>
        <w:rPr>
          <w:rFonts w:ascii="仿宋_GB2312" w:eastAsia="仿宋_GB2312"/>
          <w:spacing w:val="-4"/>
          <w:sz w:val="32"/>
        </w:rPr>
      </w:pPr>
      <w:r>
        <w:rPr>
          <w:rFonts w:hint="eastAsia" w:ascii="仿宋_GB2312" w:eastAsia="仿宋_GB2312"/>
          <w:color w:val="auto"/>
          <w:spacing w:val="-4"/>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97790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158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7.7pt;height:0pt;width:442.2pt;z-index:251660288;mso-width-relative:page;mso-height-relative:page;" filled="f" stroked="t" coordsize="21600,21600" o:gfxdata="UEsFBgAAAAAAAAAAAAAAAAAAAAAAAFBLAwQKAAAAAACHTuJAAAAAAAAAAAAAAAAABAAAAGRycy9Q&#10;SwMEFAAAAAgAh07iQA5swkvUAAAABgEAAA8AAABkcnMvZG93bnJldi54bWxNjsFOwzAQRO9I/IO1&#10;SFwQdVpSCCFODyDEDURB4rq1lyQiXod42xS+Hlcc4DLSzKxmX7Xa+17taIxdYAPzWQaK2AbXcWPg&#10;9eX+vAAVBdlhH5gMfFGEVX18VGHpwsTPtFtLo9IIxxINtCJDqXW0LXmMszAQp+49jB4l2bHRbsQp&#10;jfteL7LsUnvsOH1ocaDbluzHeusN8NX1g/18ehOb62kKZxffj7i4M+b0ZJ7dgBLay98xHPATOtSJ&#10;aRO27KLqD15J0mUOKrVFkS9BbX4DXVf6P379A1BLAwQUAAAACACHTuJAaePoVMABAABNAwAADgAA&#10;AGRycy9lMm9Eb2MueG1srVNLjhMxEN0jcQfLe9KdSAmjVjqzmChsEEQCDlBx292W/JPLpJNLcAEk&#10;drBiyZ7bMBxjyk4mAzM7xKZsV5Vf1XsuL68P1rC9jKi9a/l0UnMmnfCddn3LP7zfvLjiDBO4Dox3&#10;suVHifx69fzZcgyNnPnBm05GRiAOmzG0fEgpNFWFYpAWcOKDdBRUPlpIdIx91UUYCd2aalbXi2r0&#10;sQvRC4lI3vUpyFcFXykp0lulUCZmWk69pWJjsbtsq9USmj5CGLQ4twH/0IUF7ajoBWoNCdjHqJ9A&#10;WS2iR6/SRHhbeaW0kIUDsZnWj9i8GyDIwoXEwXCRCf8frHiz30amu5bPOHNg6YluP//49enr759f&#10;yN5+/8ZmWaQxYEO5N24bzycM25gZH1S0eSUu7FCEPV6ElYfEBDnni+mirkl/cR+rHi6GiOmV9Jbl&#10;TcuNdpkzNLB/jYmKUep9SnY7v9HGlHczjo00dPOrl3OCBhofZSDR1gYihK7nDExPcylSLJDoje7y&#10;9QyEsd/dmMj2QLOx2VB/ZRyo3F9pufYacDjllVAWhNKMoyULc5Ii73a+OxaFip/erCSe5ysPxZ/n&#10;cvvhF6z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5swkvUAAAABgEAAA8AAAAAAAAAAQAgAAAA&#10;OAAAAGRycy9kb3ducmV2LnhtbFBLAQIUABQAAAAIAIdO4kBp4+hUwAEAAE0DAAAOAAAAAAAAAAEA&#10;IAAAADkBAABkcnMvZTJvRG9jLnhtbFBLBQYAAAAABgAGAFkBAABrBQAAAAA=&#10;">
                <v:fill on="f" focussize="0,0"/>
                <v:stroke weight="1.25pt" color="#FF0000 [3205]"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关于湖南省长沙市一物流园仓库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火灾事故的警示通报</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各县（市）区安委会，市安委会有关成员单位：</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月27日，长沙市望城经开区湖南高星物流园一仓库发生火灾，造成较大社会影响。为深刻吸取事故教训，举一反三，进一步加强仓储物流场所消防安全防范工作，严防类似事故在我省发生，按照省委、省政府和市委、市政府工作部署，现提出如下要求。</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一要进一步强化底线思维。</w:t>
      </w:r>
      <w:r>
        <w:rPr>
          <w:rFonts w:hint="eastAsia" w:ascii="仿宋_GB2312" w:hAnsi="宋体" w:eastAsia="仿宋_GB2312"/>
          <w:sz w:val="32"/>
          <w:szCs w:val="32"/>
          <w:lang w:val="en-US" w:eastAsia="zh-CN"/>
        </w:rPr>
        <w:t>近年来，仓储物流场所火灾频发。2020年6月17日，湖南双峰县一物流配送门店发生火灾，造成7人死亡；2022年12月29日，台湾台中市丰原区一仓库发生火灾，造成4人死亡2人受伤。湖南长沙物流园仓库这起火灾事故，再次给我们敲响警钟。各县（市）区、各有关部门要充分认清仓储物流场所具有人员密度高、易燃可燃物多、火势蔓延快、火灾扑救难度大的特点，深刻吸取事故教训，进一步强化忧患意识和底线思维，按照“三管三必须”要求，压紧压实属地党政领导责任、部门监管责任和企业主体责任，落实落细仓储物流场所火灾防控措施，切实防范火灾事故发生。</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二要深入开展仓储物流场所消防安全隐患排查整治。</w:t>
      </w:r>
      <w:r>
        <w:rPr>
          <w:rFonts w:hint="eastAsia" w:ascii="仿宋_GB2312" w:hAnsi="宋体" w:eastAsia="仿宋_GB2312"/>
          <w:sz w:val="32"/>
          <w:szCs w:val="32"/>
          <w:lang w:val="en-US" w:eastAsia="zh-CN"/>
        </w:rPr>
        <w:t>各县（市）区和各级邮政、商务、交通运输、公安等有关部门和消防救援机构要按照各自职责以及《全省消防安全重大风险隐患专项排查整治2023行动工作方案》等要求，强化对仓储物流场所隐患排查指导帮扶，督促、指导仓储物流场所严格落实消防安全主体责任，建立逐级消防安全责任制和岗位消防安全责任，深入开展重大火灾事故隐患自查自改，建立隐患台账清单，实行闭环管理，确保责任、措施、资金、期限和应急预案落实到位。要严格精准执法，对违章使用彩钢板、违规住人、违规动火用电、使用大功率照明电器、疏散通道堵塞等突出隐患问题整治不到位以及屡改屡犯的，要严格依法予以行政处罚，倒逼企业主体责任落实。</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三要切实加强安全培训宣传力度。</w:t>
      </w:r>
      <w:r>
        <w:rPr>
          <w:rFonts w:hint="eastAsia" w:ascii="仿宋_GB2312" w:hAnsi="宋体" w:eastAsia="仿宋_GB2312"/>
          <w:sz w:val="32"/>
          <w:szCs w:val="32"/>
          <w:lang w:val="en-US" w:eastAsia="zh-CN"/>
        </w:rPr>
        <w:t>各县（市）区、各有关部门要进一步加强消防安全宣传工作，通过广播、电视、微信、微博、抖音等媒体平台和各类宣传媒介，因地制宜开展安全知识进企业、进社区、进家庭等宣传活动，让安全意识入脑入心，营造群防共治的良好氛围。要抓牢企业主要负责人第一责任，督促企业根据仓储物流场所特点，定期开展消防安全培训，让从业人员特别是新招录人员熟练掌握“一懂三会”和消防安全“四个能力”，提高企业在岗人员安全意识和应急处置能力。</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各县（市）区、各有关部门要将警示通报要求传达至本地各行业领域的仓储物流企业，督促企业单位真汲取教训，真举一反三，真自查自改。</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182" w:firstLineChars="1307"/>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四平市安全生产委员会办公室</w:t>
      </w: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2023年6月21日</w:t>
      </w: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142" w:firstLineChars="1607"/>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（此件依申请公开）</w:t>
      </w: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0" w:type="dxa"/>
            <w:tcBorders>
              <w:top w:val="single" w:color="auto" w:sz="4" w:space="0"/>
              <w:left w:val="nil"/>
              <w:bottom w:val="single" w:color="auto" w:sz="4" w:space="0"/>
              <w:right w:val="nil"/>
            </w:tcBorders>
            <w:vAlign w:val="top"/>
          </w:tcPr>
          <w:p>
            <w:pPr>
              <w:keepNext w:val="0"/>
              <w:keepLines w:val="0"/>
              <w:pageBreakBefore w:val="0"/>
              <w:widowControl/>
              <w:kinsoku/>
              <w:wordWrap/>
              <w:overflowPunct/>
              <w:topLinePunct/>
              <w:autoSpaceDE/>
              <w:autoSpaceDN/>
              <w:bidi w:val="0"/>
              <w:adjustRightInd/>
              <w:snapToGrid/>
              <w:spacing w:line="560" w:lineRule="exact"/>
              <w:textAlignment w:val="auto"/>
              <w:rPr>
                <w:rFonts w:ascii="仿宋_GB2312" w:eastAsia="仿宋_GB2312"/>
                <w:sz w:val="30"/>
              </w:rPr>
            </w:pPr>
            <w:r>
              <w:rPr>
                <w:rFonts w:hint="eastAsia" w:ascii="仿宋_GB2312" w:hAnsi="仿宋_GB2312" w:eastAsia="仿宋_GB2312" w:cs="仿宋_GB2312"/>
                <w:sz w:val="28"/>
                <w:szCs w:val="28"/>
                <w:lang w:eastAsia="zh-CN"/>
              </w:rPr>
              <w:t>四平市安全生产委员会办公室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日印发</w:t>
            </w:r>
          </w:p>
        </w:tc>
      </w:tr>
    </w:tbl>
    <w:p>
      <w:pPr>
        <w:keepNext w:val="0"/>
        <w:keepLines w:val="0"/>
        <w:pageBreakBefore w:val="0"/>
        <w:widowControl/>
        <w:kinsoku/>
        <w:wordWrap/>
        <w:overflowPunct/>
        <w:autoSpaceDE/>
        <w:autoSpaceDN/>
        <w:bidi w:val="0"/>
        <w:adjustRightInd/>
        <w:snapToGrid/>
        <w:spacing w:line="240" w:lineRule="auto"/>
        <w:ind w:right="0"/>
        <w:jc w:val="center"/>
        <w:textAlignment w:val="auto"/>
        <w:rPr>
          <w:rFonts w:hint="eastAsia" w:ascii="仿宋_GB2312" w:eastAsia="仿宋_GB2312"/>
          <w:spacing w:val="-4"/>
          <w:sz w:val="32"/>
          <w:lang w:eastAsia="zh-CN"/>
        </w:rPr>
      </w:pPr>
      <w:r>
        <w:rPr>
          <w:rFonts w:hint="eastAsia" w:ascii="仿宋_GB2312" w:eastAsia="仿宋_GB2312"/>
          <w:sz w:val="30"/>
          <w:lang w:val="en-US" w:eastAsia="zh-CN"/>
        </w:rPr>
        <w:t xml:space="preserve">                                        </w:t>
      </w:r>
      <w:r>
        <w:rPr>
          <w:rFonts w:hint="eastAsia" w:ascii="仿宋_GB2312" w:eastAsia="仿宋_GB2312"/>
          <w:sz w:val="28"/>
          <w:szCs w:val="21"/>
        </w:rPr>
        <w:t>（共印</w:t>
      </w:r>
      <w:r>
        <w:rPr>
          <w:rFonts w:hint="eastAsia" w:ascii="仿宋_GB2312" w:eastAsia="仿宋_GB2312"/>
          <w:sz w:val="28"/>
          <w:szCs w:val="21"/>
          <w:lang w:val="en-US" w:eastAsia="zh-CN"/>
        </w:rPr>
        <w:t>40</w:t>
      </w:r>
      <w:r>
        <w:rPr>
          <w:rFonts w:hint="eastAsia" w:ascii="仿宋_GB2312" w:eastAsia="仿宋_GB2312"/>
          <w:sz w:val="28"/>
          <w:szCs w:val="21"/>
        </w:rPr>
        <w:t>份</w:t>
      </w:r>
      <w:r>
        <w:rPr>
          <w:rFonts w:hint="eastAsia" w:ascii="仿宋_GB2312" w:eastAsia="仿宋_GB2312"/>
          <w:sz w:val="28"/>
          <w:szCs w:val="21"/>
          <w:lang w:eastAsia="zh-CN"/>
        </w:rPr>
        <w:t>）</w:t>
      </w:r>
    </w:p>
    <w:sectPr>
      <w:headerReference r:id="rId5" w:type="default"/>
      <w:footerReference r:id="rId7" w:type="default"/>
      <w:headerReference r:id="rId6" w:type="even"/>
      <w:footerReference r:id="rId8" w:type="even"/>
      <w:pgSz w:w="11907" w:h="16840"/>
      <w:pgMar w:top="2098" w:right="1474" w:bottom="1984" w:left="1587" w:header="851" w:footer="1587" w:gutter="0"/>
      <w:pgNumType w:fmt="decimal" w:start="1"/>
      <w:cols w:space="0" w:num="1"/>
      <w:rtlGutter w:val="0"/>
      <w:docGrid w:type="linesAndChars" w:linePitch="623"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0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sdt>
      <w:sdtPr>
        <w:id w:val="852685507"/>
        <w:docPartObj>
          <w:docPartGallery w:val="autotext"/>
        </w:docPartObj>
      </w:sdtP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evenAndOddHeaders w:val="true"/>
  <w:drawingGridHorizontalSpacing w:val="105"/>
  <w:drawingGridVerticalSpacing w:val="623"/>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3OWE2ZmMyMzNlNjIyMmU5NWRjZjVjN2U2ZGMifQ=="/>
  </w:docVars>
  <w:rsids>
    <w:rsidRoot w:val="00EA4C4E"/>
    <w:rsid w:val="00091028"/>
    <w:rsid w:val="001C0E34"/>
    <w:rsid w:val="002969B9"/>
    <w:rsid w:val="003E72F0"/>
    <w:rsid w:val="004808D1"/>
    <w:rsid w:val="00855B08"/>
    <w:rsid w:val="008978B7"/>
    <w:rsid w:val="008F0CCC"/>
    <w:rsid w:val="00934245"/>
    <w:rsid w:val="00983D99"/>
    <w:rsid w:val="00A84E88"/>
    <w:rsid w:val="00D4669E"/>
    <w:rsid w:val="00EA4C4E"/>
    <w:rsid w:val="00FE086F"/>
    <w:rsid w:val="1D9D0E13"/>
    <w:rsid w:val="1E7E5E4A"/>
    <w:rsid w:val="23114F9E"/>
    <w:rsid w:val="33696D9B"/>
    <w:rsid w:val="35254249"/>
    <w:rsid w:val="3CAC0DF5"/>
    <w:rsid w:val="56A54CC3"/>
    <w:rsid w:val="65157257"/>
    <w:rsid w:val="6DE95E0F"/>
    <w:rsid w:val="6EA171F9"/>
    <w:rsid w:val="6FE992E8"/>
    <w:rsid w:val="72050C13"/>
    <w:rsid w:val="78FE1639"/>
    <w:rsid w:val="7FF151A2"/>
    <w:rsid w:val="87EDFE92"/>
    <w:rsid w:val="FBF2F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1563</Characters>
  <Lines>1</Lines>
  <Paragraphs>1</Paragraphs>
  <TotalTime>1</TotalTime>
  <ScaleCrop>false</ScaleCrop>
  <LinksUpToDate>false</LinksUpToDate>
  <CharactersWithSpaces>1628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2019-01-22T23:09:00Z</dcterms:created>
  <dc:creator>txg</dc:creator>
  <cp:lastModifiedBy>admin</cp:lastModifiedBy>
  <cp:lastPrinted>2023-04-17T13:28:00Z</cp:lastPrinted>
  <dcterms:modified xsi:type="dcterms:W3CDTF">2023-06-21T09:27:34Z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294686887_btnclosed</vt:lpwstr>
  </property>
  <property fmtid="{D5CDD505-2E9C-101B-9397-08002B2CF9AE}" pid="3" name="KSOProductBuildVer">
    <vt:lpwstr>2052-11.8.2.10386</vt:lpwstr>
  </property>
  <property fmtid="{D5CDD505-2E9C-101B-9397-08002B2CF9AE}" pid="4" name="ICV">
    <vt:lpwstr>820EEA9819974E99AE99B4004EC25DB7</vt:lpwstr>
  </property>
</Properties>
</file>